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2576C" w14:textId="0FE680B2" w:rsidR="000A5B77" w:rsidRPr="000A5B77" w:rsidRDefault="000A5B77" w:rsidP="000A5B77">
      <w:pPr>
        <w:keepNext/>
        <w:keepLines/>
        <w:pBdr>
          <w:top w:val="single" w:sz="24" w:space="1" w:color="548DD4"/>
          <w:left w:val="single" w:sz="24" w:space="4" w:color="548DD4"/>
          <w:bottom w:val="single" w:sz="24" w:space="1" w:color="548DD4"/>
          <w:right w:val="single" w:sz="24" w:space="4" w:color="548DD4"/>
        </w:pBdr>
        <w:shd w:val="clear" w:color="auto" w:fill="548DD4"/>
        <w:spacing w:before="360" w:after="0" w:line="276" w:lineRule="auto"/>
        <w:ind w:left="1985"/>
        <w:outlineLvl w:val="0"/>
        <w:rPr>
          <w:rFonts w:ascii="Arial" w:eastAsia="Times New Roman" w:hAnsi="Arial" w:cs="Arial"/>
          <w:b/>
          <w:bCs/>
          <w:color w:val="FFFFFF"/>
          <w:kern w:val="0"/>
          <w:sz w:val="26"/>
          <w:szCs w:val="28"/>
          <w14:ligatures w14:val="none"/>
        </w:rPr>
      </w:pPr>
      <w:r w:rsidRPr="000A5B77">
        <w:rPr>
          <w:rFonts w:ascii="Arial" w:eastAsia="Times New Roman" w:hAnsi="Arial" w:cs="Arial"/>
          <w:b/>
          <w:bCs/>
          <w:color w:val="FFFFFF"/>
          <w:kern w:val="0"/>
          <w:sz w:val="26"/>
          <w:szCs w:val="28"/>
          <w14:ligatures w14:val="none"/>
        </w:rPr>
        <w:t>Merila</w:t>
      </w:r>
      <w:r>
        <w:rPr>
          <w:rFonts w:ascii="Arial" w:eastAsia="Times New Roman" w:hAnsi="Arial" w:cs="Arial"/>
          <w:b/>
          <w:bCs/>
          <w:color w:val="FFFFFF"/>
          <w:kern w:val="0"/>
          <w:sz w:val="26"/>
          <w:szCs w:val="28"/>
          <w14:ligatures w14:val="none"/>
        </w:rPr>
        <w:t xml:space="preserve"> </w:t>
      </w:r>
      <w:r w:rsidRPr="000A5B77">
        <w:rPr>
          <w:rFonts w:ascii="Arial" w:eastAsia="Times New Roman" w:hAnsi="Arial" w:cs="Arial"/>
          <w:b/>
          <w:bCs/>
          <w:color w:val="FF0000"/>
          <w:kern w:val="0"/>
          <w:sz w:val="26"/>
          <w:szCs w:val="28"/>
          <w14:ligatures w14:val="none"/>
        </w:rPr>
        <w:t xml:space="preserve">s </w:t>
      </w:r>
      <w:proofErr w:type="spellStart"/>
      <w:r w:rsidRPr="000A5B77">
        <w:rPr>
          <w:rFonts w:ascii="Arial" w:eastAsia="Times New Roman" w:hAnsi="Arial" w:cs="Arial"/>
          <w:b/>
          <w:bCs/>
          <w:color w:val="FF0000"/>
          <w:kern w:val="0"/>
          <w:sz w:val="26"/>
          <w:szCs w:val="28"/>
          <w14:ligatures w14:val="none"/>
        </w:rPr>
        <w:t>popr</w:t>
      </w:r>
      <w:proofErr w:type="spellEnd"/>
      <w:r w:rsidRPr="000A5B77">
        <w:rPr>
          <w:rFonts w:ascii="Arial" w:eastAsia="Times New Roman" w:hAnsi="Arial" w:cs="Arial"/>
          <w:b/>
          <w:bCs/>
          <w:color w:val="FF0000"/>
          <w:kern w:val="0"/>
          <w:sz w:val="26"/>
          <w:szCs w:val="28"/>
          <w14:ligatures w14:val="none"/>
        </w:rPr>
        <w:t xml:space="preserve"> 1</w:t>
      </w:r>
      <w:r w:rsidR="005B4307">
        <w:rPr>
          <w:rFonts w:ascii="Arial" w:eastAsia="Times New Roman" w:hAnsi="Arial" w:cs="Arial"/>
          <w:b/>
          <w:bCs/>
          <w:color w:val="FF0000"/>
          <w:kern w:val="0"/>
          <w:sz w:val="26"/>
          <w:szCs w:val="28"/>
          <w14:ligatures w14:val="none"/>
        </w:rPr>
        <w:t>9</w:t>
      </w:r>
      <w:r w:rsidRPr="000A5B77">
        <w:rPr>
          <w:rFonts w:ascii="Arial" w:eastAsia="Times New Roman" w:hAnsi="Arial" w:cs="Arial"/>
          <w:b/>
          <w:bCs/>
          <w:color w:val="FF0000"/>
          <w:kern w:val="0"/>
          <w:sz w:val="26"/>
          <w:szCs w:val="28"/>
          <w14:ligatures w14:val="none"/>
        </w:rPr>
        <w:t>.02.2025</w:t>
      </w:r>
    </w:p>
    <w:p w14:paraId="2B307DF0" w14:textId="77777777" w:rsidR="000A5B77" w:rsidRPr="000A5B77" w:rsidRDefault="000A5B77" w:rsidP="000A5B77">
      <w:p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7E5C2066" w14:textId="77777777" w:rsidR="000A5B77" w:rsidRPr="000A5B77" w:rsidRDefault="000A5B77" w:rsidP="000A5B77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0A5B77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Izbira ponudb bo potekala po naslednjem kriteriju: </w:t>
      </w:r>
      <w:r w:rsidRPr="000A5B7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14:ligatures w14:val="none"/>
        </w:rPr>
        <w:t> ekonomsko najugodnejša ponudba.</w:t>
      </w:r>
    </w:p>
    <w:p w14:paraId="2F53DC72" w14:textId="77777777" w:rsidR="000A5B77" w:rsidRPr="000A5B77" w:rsidRDefault="000A5B77" w:rsidP="000A5B77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14:ligatures w14:val="none"/>
        </w:rPr>
      </w:pPr>
      <w:r w:rsidRPr="000A5B77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 xml:space="preserve">Upoštevali se bodo naslednji </w:t>
      </w:r>
      <w:proofErr w:type="spellStart"/>
      <w:r w:rsidRPr="000A5B77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ponderji</w:t>
      </w:r>
      <w:proofErr w:type="spellEnd"/>
      <w:r w:rsidRPr="000A5B77">
        <w:rPr>
          <w:rFonts w:ascii="Arial" w:eastAsia="Calibri" w:hAnsi="Arial" w:cs="Arial"/>
          <w:color w:val="000000"/>
          <w:kern w:val="0"/>
          <w:sz w:val="18"/>
          <w:szCs w:val="18"/>
          <w14:ligatures w14:val="none"/>
        </w:rPr>
        <w:t>: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1087"/>
        <w:gridCol w:w="3443"/>
        <w:gridCol w:w="4530"/>
      </w:tblGrid>
      <w:tr w:rsidR="000A5B77" w:rsidRPr="000A5B77" w14:paraId="4E84A781" w14:textId="77777777" w:rsidTr="0059695F">
        <w:tc>
          <w:tcPr>
            <w:tcW w:w="6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3CD0C3" w14:textId="77777777" w:rsidR="000A5B77" w:rsidRPr="000A5B77" w:rsidRDefault="000A5B77" w:rsidP="000A5B77">
            <w:pPr>
              <w:rPr>
                <w:rFonts w:ascii="Helvetica" w:eastAsia="Calibri" w:hAnsi="Helvetica" w:cs="Times New Roman"/>
                <w:color w:val="C00000"/>
              </w:rPr>
            </w:pP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Ponder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1:</w:t>
            </w:r>
          </w:p>
        </w:tc>
        <w:tc>
          <w:tcPr>
            <w:tcW w:w="19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21B065" w14:textId="77777777" w:rsidR="000A5B77" w:rsidRPr="000A5B77" w:rsidRDefault="000A5B77" w:rsidP="000A5B77">
            <w:pPr>
              <w:rPr>
                <w:rFonts w:ascii="Helvetica" w:eastAsia="Calibri" w:hAnsi="Helvetica" w:cs="Times New Roman"/>
                <w:color w:val="C00000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Najnižja skupna ponudbena cena (za sklope 1, 2 in 3 skupaj)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78C737" w14:textId="77777777" w:rsidR="000A5B77" w:rsidRPr="000A5B77" w:rsidRDefault="000A5B77" w:rsidP="000A5B77">
            <w:pPr>
              <w:spacing w:before="135" w:after="135"/>
              <w:jc w:val="both"/>
              <w:textAlignment w:val="center"/>
              <w:rPr>
                <w:rFonts w:ascii="Helvetica" w:eastAsia="Calibri" w:hAnsi="Helvetica" w:cs="Times New Roman"/>
                <w:color w:val="C00000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 Najnižja skupna ponudbena cena za sklop 1,2 in 3.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4314"/>
            </w:tblGrid>
            <w:tr w:rsidR="000A5B77" w:rsidRPr="000A5B77" w14:paraId="08F81548" w14:textId="77777777" w:rsidTr="0059695F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127F6F7C" w14:textId="57A49F13" w:rsidR="000A5B77" w:rsidRPr="000A5B77" w:rsidRDefault="000A5B77" w:rsidP="000A5B77">
                  <w:pPr>
                    <w:numPr>
                      <w:ilvl w:val="0"/>
                      <w:numId w:val="1"/>
                    </w:numPr>
                    <w:rPr>
                      <w:rFonts w:ascii="Arial" w:eastAsia="Calibri" w:hAnsi="Arial" w:cs="Arial"/>
                      <w:color w:val="C00000"/>
                      <w:sz w:val="18"/>
                      <w:szCs w:val="18"/>
                    </w:rPr>
                  </w:pPr>
                  <w:proofErr w:type="spellStart"/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>max</w:t>
                  </w:r>
                  <w:proofErr w:type="spellEnd"/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 xml:space="preserve">. št. točk po merilu cena: </w:t>
                  </w:r>
                  <w:r w:rsidR="00D92FF6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>70</w:t>
                  </w:r>
                  <w:r w:rsidRPr="000A5B77">
                    <w:rPr>
                      <w:rFonts w:ascii="Arial" w:eastAsia="Calibri" w:hAnsi="Arial" w:cs="Arial"/>
                      <w:b/>
                      <w:bCs/>
                      <w:color w:val="C00000"/>
                      <w:position w:val="-2"/>
                      <w:sz w:val="18"/>
                      <w:szCs w:val="18"/>
                    </w:rPr>
                    <w:t xml:space="preserve"> točk</w:t>
                  </w:r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>;</w:t>
                  </w:r>
                </w:p>
                <w:p w14:paraId="3DE4AE1B" w14:textId="3EDFBAD2" w:rsidR="000A5B77" w:rsidRPr="000A5B77" w:rsidRDefault="000A5B77" w:rsidP="000A5B77">
                  <w:pPr>
                    <w:numPr>
                      <w:ilvl w:val="0"/>
                      <w:numId w:val="1"/>
                    </w:numPr>
                    <w:rPr>
                      <w:rFonts w:ascii="Arial" w:eastAsia="Calibri" w:hAnsi="Arial" w:cs="Arial"/>
                      <w:color w:val="C00000"/>
                      <w:sz w:val="18"/>
                      <w:szCs w:val="18"/>
                    </w:rPr>
                  </w:pPr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 xml:space="preserve">formula za izračun: Tc = </w:t>
                  </w:r>
                  <w:r w:rsidR="00D92FF6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>70</w:t>
                  </w:r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 xml:space="preserve"> x </w:t>
                  </w:r>
                  <w:proofErr w:type="spellStart"/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>Cn</w:t>
                  </w:r>
                  <w:proofErr w:type="spellEnd"/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>/C (</w:t>
                  </w:r>
                  <w:proofErr w:type="spellStart"/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>Cn</w:t>
                  </w:r>
                  <w:proofErr w:type="spellEnd"/>
                  <w:r w:rsidRPr="000A5B77">
                    <w:rPr>
                      <w:rFonts w:ascii="Arial" w:eastAsia="Calibri" w:hAnsi="Arial" w:cs="Arial"/>
                      <w:color w:val="C00000"/>
                      <w:position w:val="-2"/>
                      <w:sz w:val="18"/>
                      <w:szCs w:val="18"/>
                    </w:rPr>
                    <w:t xml:space="preserve"> = najnižja cena, C = cena posameznega ponudnika)</w:t>
                  </w:r>
                </w:p>
              </w:tc>
            </w:tr>
          </w:tbl>
          <w:p w14:paraId="30552BF8" w14:textId="77777777" w:rsidR="000A5B77" w:rsidRPr="000A5B77" w:rsidRDefault="000A5B77" w:rsidP="000A5B77">
            <w:pPr>
              <w:jc w:val="both"/>
              <w:textAlignment w:val="center"/>
              <w:rPr>
                <w:rFonts w:ascii="Helvetica" w:eastAsia="Calibri" w:hAnsi="Helvetica" w:cs="Times New Roman"/>
                <w:color w:val="C00000"/>
              </w:rPr>
            </w:pPr>
          </w:p>
        </w:tc>
      </w:tr>
      <w:tr w:rsidR="000A5B77" w:rsidRPr="000A5B77" w14:paraId="1D28A667" w14:textId="77777777" w:rsidTr="0059695F">
        <w:tc>
          <w:tcPr>
            <w:tcW w:w="6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1AD49B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Ponder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2:</w:t>
            </w:r>
          </w:p>
        </w:tc>
        <w:tc>
          <w:tcPr>
            <w:tcW w:w="19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5B28DB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Tehnična prednost 1 (TP1)</w:t>
            </w:r>
          </w:p>
          <w:p w14:paraId="463B3EA3" w14:textId="391BB3AD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V kolikor ponudnik ponuja opcijo robotiziranega sistema z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redundančnostjo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z dvema popolnoma ločenima sistemoma</w:t>
            </w:r>
            <w:r w:rsidR="006D2C32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, ki preko </w:t>
            </w:r>
            <w:r w:rsidR="006D2C32" w:rsidRPr="006D2C32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sinhron</w:t>
            </w:r>
            <w:r w:rsidR="006D2C32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ega delovanja z </w:t>
            </w:r>
            <w:r w:rsidR="006D2C32" w:rsidRPr="006D2C32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avtomatiziran</w:t>
            </w:r>
            <w:r w:rsidR="006D2C32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im</w:t>
            </w:r>
            <w:r w:rsidR="006D2C32" w:rsidRPr="006D2C32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vnos</w:t>
            </w:r>
            <w:r w:rsidR="006D2C32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om</w:t>
            </w:r>
            <w:r w:rsidR="006D2C32" w:rsidRPr="006D2C32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polni sistem z zdravili tako, da jih enakomerno porazdeli v oba sistema</w:t>
            </w: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, ki za naročnika pomeni višjo varnost, kot je doseganje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redundančnosti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s posameznimi komponentami znotraj enega sistema, saj se zdravila enakomerno vnašajo v dva ločena sistema in so še vedno na razpolago tudi v primeru, če pride do zastoja enega izmed sistemov (npr. v primeru "dalj časa trajajočega popravila enega izmed sistemov") s čimer so morebitni zastoji v oskrbi zdravil zmanjšani na minimum, bo naročnik to dodatno nagradil s točkami. 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ECE53" w14:textId="77777777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TP1: </w:t>
            </w:r>
          </w:p>
          <w:p w14:paraId="239E4190" w14:textId="77777777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  <w:p w14:paraId="0945EB03" w14:textId="77777777" w:rsidR="000A5B77" w:rsidRPr="000A5B77" w:rsidRDefault="000A5B77" w:rsidP="000A5B77">
            <w:pPr>
              <w:numPr>
                <w:ilvl w:val="0"/>
                <w:numId w:val="2"/>
              </w:numPr>
              <w:spacing w:before="135" w:after="135"/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ponujena oprema želene tehnične prednosti nima =0 točk, </w:t>
            </w:r>
          </w:p>
          <w:p w14:paraId="5A558052" w14:textId="2F2806C5" w:rsidR="000A5B77" w:rsidRPr="000A5B77" w:rsidRDefault="000A5B77" w:rsidP="000A5B77">
            <w:pPr>
              <w:numPr>
                <w:ilvl w:val="0"/>
                <w:numId w:val="2"/>
              </w:numPr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ponujena oprema želeno tehnično prednost ima= </w:t>
            </w:r>
            <w:r w:rsidR="00D92FF6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16</w:t>
            </w:r>
            <w:r w:rsidRPr="000A5B77">
              <w:rPr>
                <w:rFonts w:ascii="Arial" w:eastAsia="Calibri" w:hAnsi="Arial" w:cs="Arial"/>
                <w:b/>
                <w:bCs/>
                <w:color w:val="C00000"/>
                <w:position w:val="-2"/>
                <w:sz w:val="18"/>
                <w:szCs w:val="18"/>
              </w:rPr>
              <w:t xml:space="preserve"> točk</w:t>
            </w:r>
          </w:p>
        </w:tc>
      </w:tr>
      <w:tr w:rsidR="000A5B77" w:rsidRPr="000A5B77" w14:paraId="760FBB32" w14:textId="77777777" w:rsidTr="0059695F">
        <w:tc>
          <w:tcPr>
            <w:tcW w:w="6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48460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Ponder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3:</w:t>
            </w:r>
          </w:p>
        </w:tc>
        <w:tc>
          <w:tcPr>
            <w:tcW w:w="19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D7313D" w14:textId="0AEFEB12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Hitrost izdaje (iznosa) zdravil (TP2):</w:t>
            </w:r>
            <w:r w:rsidRPr="000A5B77">
              <w:rPr>
                <w:rFonts w:ascii="Helvetica" w:eastAsia="Calibri" w:hAnsi="Helvetica" w:cs="Times New Roman"/>
              </w:rPr>
              <w:t xml:space="preserve"> </w:t>
            </w: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sposobnost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izskladiščenja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vsake robotske roke  </w:t>
            </w:r>
            <w:r w:rsidRPr="000A5B77">
              <w:rPr>
                <w:rFonts w:ascii="Arial" w:eastAsia="Calibri" w:hAnsi="Arial" w:cs="Arial"/>
                <w:b/>
                <w:bCs/>
                <w:color w:val="C00000"/>
                <w:position w:val="-2"/>
                <w:sz w:val="18"/>
                <w:szCs w:val="18"/>
              </w:rPr>
              <w:t>za 1 pakiranje</w:t>
            </w: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na eno direktno izdajno mesto v oficini</w:t>
            </w:r>
            <w:r w:rsidR="00D92FF6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, </w:t>
            </w:r>
            <w:r w:rsidR="00D92FF6" w:rsidRPr="005B430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pri čemer se naročnik ne opredeljuje do velikosti škatlice, ki bo uporabljena pri merjenju hitrosti in dopušča meritev hitrosti pri optimalnih pogojih delovanja</w:t>
            </w:r>
            <w:r w:rsidR="00D92FF6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;</w:t>
            </w:r>
          </w:p>
          <w:p w14:paraId="0B88CD40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(čas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izskladiščenja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se šteje od trenutka, ko se v informacijski sistem naročnika iz ene delovne postaje pošlje zahteva za izdajo pakiranja, do iznosa pakiranja iz avtomatiziranega skladiščnega sistema) – priloži se dokazni posnetek.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36CCCB" w14:textId="77777777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TP2: </w:t>
            </w:r>
          </w:p>
          <w:p w14:paraId="435B5898" w14:textId="77777777" w:rsidR="000A5B77" w:rsidRPr="000A5B77" w:rsidRDefault="000A5B77" w:rsidP="000A5B77">
            <w:pPr>
              <w:numPr>
                <w:ilvl w:val="0"/>
                <w:numId w:val="2"/>
              </w:numPr>
              <w:spacing w:before="135" w:after="135"/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v času 10 sekund:                      0  točk, </w:t>
            </w:r>
          </w:p>
          <w:p w14:paraId="226298AF" w14:textId="77777777" w:rsidR="000A5B77" w:rsidRPr="000A5B77" w:rsidRDefault="000A5B77" w:rsidP="000A5B77">
            <w:pPr>
              <w:numPr>
                <w:ilvl w:val="0"/>
                <w:numId w:val="2"/>
              </w:numPr>
              <w:spacing w:before="135" w:after="135"/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v času od 7 do 9,99 s                 1 točki,</w:t>
            </w:r>
          </w:p>
          <w:p w14:paraId="3B8846C5" w14:textId="77777777" w:rsidR="000A5B77" w:rsidRPr="000A5B77" w:rsidRDefault="000A5B77" w:rsidP="000A5B77">
            <w:pPr>
              <w:numPr>
                <w:ilvl w:val="0"/>
                <w:numId w:val="2"/>
              </w:numPr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v času 6,99 in manj s                 3 točk</w:t>
            </w:r>
          </w:p>
        </w:tc>
      </w:tr>
      <w:tr w:rsidR="000A5B77" w:rsidRPr="000A5B77" w14:paraId="3AF8F360" w14:textId="77777777" w:rsidTr="0059695F">
        <w:tc>
          <w:tcPr>
            <w:tcW w:w="6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8D5FE1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Ponder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4</w:t>
            </w:r>
          </w:p>
        </w:tc>
        <w:tc>
          <w:tcPr>
            <w:tcW w:w="19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A4182C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Glasnost delovanja robotiziranega sistema (TP3)</w:t>
            </w:r>
          </w:p>
          <w:p w14:paraId="08403D3C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Vkolikor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robotizirani sistem zagotavlja tišje delovanje od 65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dB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, bo naročnik </w:t>
            </w: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lastRenderedPageBreak/>
              <w:t>tehnično prednost nagradil z dodatnimi točkami, saj je za uporabnike na deloviščih ob robotu nižji hrup manj moteč.</w:t>
            </w:r>
          </w:p>
          <w:p w14:paraId="2379D3D5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  <w:p w14:paraId="13C04C3A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  <w:p w14:paraId="5339093D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243D87" w14:textId="77777777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lastRenderedPageBreak/>
              <w:t xml:space="preserve">TP3: </w:t>
            </w:r>
          </w:p>
          <w:p w14:paraId="798D050A" w14:textId="004BA093" w:rsidR="00163701" w:rsidRPr="00163701" w:rsidRDefault="00163701" w:rsidP="000A5B77">
            <w:pPr>
              <w:numPr>
                <w:ilvl w:val="0"/>
                <w:numId w:val="2"/>
              </w:numPr>
              <w:spacing w:before="135" w:after="135"/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C00000"/>
                <w:sz w:val="18"/>
                <w:szCs w:val="18"/>
              </w:rPr>
              <w:t>65dB                                          0 točk</w:t>
            </w:r>
          </w:p>
          <w:p w14:paraId="5F59521C" w14:textId="705BDC39" w:rsidR="000A5B77" w:rsidRPr="000A5B77" w:rsidRDefault="000A5B77" w:rsidP="000A5B77">
            <w:pPr>
              <w:numPr>
                <w:ilvl w:val="0"/>
                <w:numId w:val="2"/>
              </w:numPr>
              <w:spacing w:before="135" w:after="135"/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56 -6</w:t>
            </w:r>
            <w:r w:rsidR="00163701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4</w:t>
            </w: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dB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:                                  </w:t>
            </w:r>
            <w:r w:rsidR="00163701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1</w:t>
            </w: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točk</w:t>
            </w:r>
            <w:r w:rsidR="00163701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a</w:t>
            </w: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, </w:t>
            </w:r>
          </w:p>
          <w:p w14:paraId="00AFF5DC" w14:textId="77777777" w:rsidR="000A5B77" w:rsidRPr="000A5B77" w:rsidRDefault="000A5B77" w:rsidP="000A5B77">
            <w:pPr>
              <w:numPr>
                <w:ilvl w:val="0"/>
                <w:numId w:val="2"/>
              </w:numPr>
              <w:spacing w:before="135" w:after="135"/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51-55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dB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                                   2 točki,</w:t>
            </w:r>
          </w:p>
          <w:p w14:paraId="7977ABCC" w14:textId="77777777" w:rsidR="000A5B77" w:rsidRPr="000A5B77" w:rsidRDefault="000A5B77" w:rsidP="000A5B77">
            <w:pPr>
              <w:numPr>
                <w:ilvl w:val="0"/>
                <w:numId w:val="2"/>
              </w:numPr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lastRenderedPageBreak/>
              <w:t xml:space="preserve">50 in manj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dB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                            5 točk</w:t>
            </w:r>
          </w:p>
          <w:p w14:paraId="7F0697C2" w14:textId="77777777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</w:tc>
      </w:tr>
      <w:tr w:rsidR="000A5B77" w:rsidRPr="000A5B77" w14:paraId="67180085" w14:textId="77777777" w:rsidTr="0059695F">
        <w:tc>
          <w:tcPr>
            <w:tcW w:w="6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9D7420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lastRenderedPageBreak/>
              <w:t>Ponder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5</w:t>
            </w:r>
          </w:p>
        </w:tc>
        <w:tc>
          <w:tcPr>
            <w:tcW w:w="19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CF00D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Teža pakiranj (TP4)</w:t>
            </w:r>
          </w:p>
          <w:p w14:paraId="6E120972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Naročniku je pomembno, da čim več zdravil uskladišči v robotizirani sistem preko avtomatiziranega procesa. V kolikor robotizirani sistem omogoča avtomatizirani proces tudi za pakiranja s težo nad 500 g (osnovna zahteva!), bo naročnik tehnično prednost nagradil z dodatnimi točkami.</w:t>
            </w:r>
          </w:p>
          <w:p w14:paraId="45015BBE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  <w:p w14:paraId="60294F47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BD34D08" w14:textId="77777777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  <w:p w14:paraId="643EF782" w14:textId="77777777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TP4: </w:t>
            </w:r>
          </w:p>
          <w:p w14:paraId="5EAA1AA1" w14:textId="77777777" w:rsidR="000A5B77" w:rsidRPr="000A5B77" w:rsidRDefault="000A5B77" w:rsidP="000A5B77">
            <w:pPr>
              <w:numPr>
                <w:ilvl w:val="0"/>
                <w:numId w:val="2"/>
              </w:numPr>
              <w:spacing w:before="135" w:after="135" w:line="276" w:lineRule="auto"/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Teža pakiranja do 500 g:             0  točk, </w:t>
            </w:r>
          </w:p>
          <w:p w14:paraId="3ECC7B9D" w14:textId="77777777" w:rsidR="000A5B77" w:rsidRPr="000A5B77" w:rsidRDefault="000A5B77" w:rsidP="000A5B77">
            <w:pPr>
              <w:numPr>
                <w:ilvl w:val="0"/>
                <w:numId w:val="2"/>
              </w:numPr>
              <w:spacing w:before="135" w:after="135" w:line="276" w:lineRule="auto"/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Teža pakiranja:  501g do 799 g     1 točki,</w:t>
            </w:r>
          </w:p>
          <w:p w14:paraId="45AF09CE" w14:textId="77777777" w:rsidR="000A5B77" w:rsidRPr="000A5B77" w:rsidRDefault="000A5B77" w:rsidP="000A5B77">
            <w:pPr>
              <w:numPr>
                <w:ilvl w:val="0"/>
                <w:numId w:val="2"/>
              </w:numPr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Teža pakiranja 800g in več:         3 točk</w:t>
            </w:r>
          </w:p>
        </w:tc>
      </w:tr>
      <w:tr w:rsidR="000A5B77" w:rsidRPr="000A5B77" w14:paraId="3CB65191" w14:textId="77777777" w:rsidTr="0059695F">
        <w:tc>
          <w:tcPr>
            <w:tcW w:w="6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D8E29C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Ponder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6</w:t>
            </w:r>
          </w:p>
        </w:tc>
        <w:tc>
          <w:tcPr>
            <w:tcW w:w="19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7A2A8E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Dimenzije pakiranj (TP5)</w:t>
            </w:r>
          </w:p>
          <w:p w14:paraId="46BF3FAF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Naročniku je pomembno, da čim več zdravil uskladišči v robotizirani sistem preko avtomatiziranega procesa. V kolikor robotizirani sistem omogoča avtomatizirani proces tudi za dodatna pakiranja še manjših oz. še večjih dimenzij (izven osnovne zahteve naročnika), bo naročnik tehnično prednost nagradil z dodatnimi točkami.</w:t>
            </w:r>
          </w:p>
          <w:p w14:paraId="31FAFBF6" w14:textId="77777777" w:rsidR="000A5B77" w:rsidRPr="000A5B77" w:rsidRDefault="000A5B77" w:rsidP="000A5B77">
            <w:pPr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A0D414" w14:textId="77777777" w:rsidR="000A5B77" w:rsidRPr="000A5B77" w:rsidRDefault="000A5B77" w:rsidP="000A5B77">
            <w:pPr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TP5: </w:t>
            </w:r>
          </w:p>
          <w:p w14:paraId="28F4B039" w14:textId="77777777" w:rsidR="000A5B77" w:rsidRPr="000A5B77" w:rsidRDefault="000A5B77" w:rsidP="000A5B77">
            <w:pPr>
              <w:numPr>
                <w:ilvl w:val="0"/>
                <w:numId w:val="3"/>
              </w:numPr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Osnovne zahteve glede dimenzij pakiranja: največja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min.velikost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(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dxšxv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) 50x25x15 mm  IN najmanjša 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max.velikost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 xml:space="preserve"> (</w:t>
            </w:r>
            <w:proofErr w:type="spellStart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dxšxv</w:t>
            </w:r>
            <w:proofErr w:type="spellEnd"/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) 180x119x90mm:                                 0 točk</w:t>
            </w:r>
          </w:p>
          <w:p w14:paraId="4E1953F2" w14:textId="77777777" w:rsidR="000A5B77" w:rsidRPr="000A5B77" w:rsidRDefault="000A5B77" w:rsidP="000A5B77">
            <w:pPr>
              <w:numPr>
                <w:ilvl w:val="0"/>
                <w:numId w:val="3"/>
              </w:numPr>
              <w:contextualSpacing/>
              <w:jc w:val="both"/>
              <w:textAlignment w:val="center"/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</w:pPr>
            <w:r w:rsidRPr="000A5B77">
              <w:rPr>
                <w:rFonts w:ascii="Arial" w:eastAsia="Calibri" w:hAnsi="Arial" w:cs="Arial"/>
                <w:color w:val="C00000"/>
                <w:position w:val="-2"/>
                <w:sz w:val="18"/>
                <w:szCs w:val="18"/>
              </w:rPr>
              <w:t>Nagrajene dimenzije: največja minimalna velikost pakiranja: 40 mm x 15 mm x 15 mm (d/š/v) in manjše IN najmanjša maksimalna velikost pakiranja 230 mm x 140 mm x 120 mm (d/š /v) in večje                            3 točk</w:t>
            </w:r>
          </w:p>
        </w:tc>
      </w:tr>
    </w:tbl>
    <w:p w14:paraId="3963FBAC" w14:textId="77777777" w:rsidR="000A5B77" w:rsidRPr="000A5B77" w:rsidRDefault="000A5B77" w:rsidP="000A5B77">
      <w:pPr>
        <w:spacing w:before="225" w:after="225" w:line="240" w:lineRule="auto"/>
        <w:rPr>
          <w:rFonts w:ascii="Helvetica" w:eastAsia="Calibri" w:hAnsi="Helvetica" w:cs="Times New Roman"/>
          <w:color w:val="C00000"/>
          <w:kern w:val="0"/>
          <w14:ligatures w14:val="none"/>
        </w:rPr>
      </w:pPr>
      <w:r w:rsidRPr="000A5B77">
        <w:rPr>
          <w:rFonts w:ascii="Arial" w:eastAsia="Calibri" w:hAnsi="Arial" w:cs="Arial"/>
          <w:color w:val="C00000"/>
          <w:kern w:val="0"/>
          <w:sz w:val="18"/>
          <w:szCs w:val="18"/>
          <w14:ligatures w14:val="none"/>
        </w:rPr>
        <w:t>Merilo za oddajo javnega naročila je ekonomsko najugodnejša ponudba v skladu z zgoraj navedenimi merili (seštevek točk):  TOČKE = T1 + T2 + T3 + T4 + T5 + T6</w:t>
      </w:r>
    </w:p>
    <w:p w14:paraId="4BBAC0B6" w14:textId="77777777" w:rsidR="000A5B77" w:rsidRPr="000A5B77" w:rsidRDefault="000A5B77" w:rsidP="000A5B77">
      <w:pPr>
        <w:spacing w:before="225" w:after="225" w:line="240" w:lineRule="auto"/>
        <w:rPr>
          <w:rFonts w:ascii="Helvetica" w:eastAsia="Calibri" w:hAnsi="Helvetica" w:cs="Times New Roman"/>
          <w:color w:val="C00000"/>
          <w:kern w:val="0"/>
          <w14:ligatures w14:val="none"/>
        </w:rPr>
      </w:pPr>
      <w:r w:rsidRPr="000A5B77">
        <w:rPr>
          <w:rFonts w:ascii="Arial" w:eastAsia="Calibri" w:hAnsi="Arial" w:cs="Arial"/>
          <w:color w:val="C00000"/>
          <w:kern w:val="0"/>
          <w:sz w:val="18"/>
          <w:szCs w:val="18"/>
          <w14:ligatures w14:val="none"/>
        </w:rPr>
        <w:t>Ponudnik za izkaz izpolnjevanja posamezne tehnične prednosti za dodelitev točk po merilu TP1 – TP5 v okviru ponudbe predloži ustrezna dokazila (videoposnetek za TP2, za ostalo tehnična dokumentacija) in obvezno prikaže in opiše posamezne tehnične prednosti, ki je predmet merila. Naročnik bo točke v okviru meril TP1 – TP6 dodeli po preverjanju dokazil. </w:t>
      </w:r>
    </w:p>
    <w:p w14:paraId="567FEE0B" w14:textId="77777777" w:rsidR="000A5B77" w:rsidRPr="000A5B77" w:rsidRDefault="000A5B77" w:rsidP="000A5B77">
      <w:pPr>
        <w:spacing w:before="225" w:after="225" w:line="240" w:lineRule="auto"/>
        <w:rPr>
          <w:rFonts w:ascii="Arial" w:eastAsia="Calibri" w:hAnsi="Arial" w:cs="Arial"/>
          <w:color w:val="C00000"/>
          <w:kern w:val="0"/>
          <w:sz w:val="18"/>
          <w:szCs w:val="18"/>
          <w14:ligatures w14:val="none"/>
        </w:rPr>
      </w:pPr>
      <w:r w:rsidRPr="000A5B77">
        <w:rPr>
          <w:rFonts w:ascii="Arial" w:eastAsia="Calibri" w:hAnsi="Arial" w:cs="Arial"/>
          <w:color w:val="C00000"/>
          <w:kern w:val="0"/>
          <w:sz w:val="18"/>
          <w:szCs w:val="18"/>
          <w14:ligatures w14:val="none"/>
        </w:rPr>
        <w:t>Najugodnejša je dopustna ponudba, ki prejme največje število točk. Število točk se zaokroži na dve decimalki.  Največje možno število točk je 100,00.  </w:t>
      </w:r>
    </w:p>
    <w:p w14:paraId="768AC525" w14:textId="7CEEB21A" w:rsidR="009249DC" w:rsidRDefault="000A5B77" w:rsidP="002B5E9E">
      <w:pPr>
        <w:spacing w:before="225" w:after="225" w:line="240" w:lineRule="auto"/>
        <w:jc w:val="both"/>
      </w:pPr>
      <w:r w:rsidRPr="000A5B77">
        <w:rPr>
          <w:rFonts w:ascii="Arial" w:eastAsia="Calibri" w:hAnsi="Arial" w:cs="Arial"/>
          <w:color w:val="C00000"/>
          <w:kern w:val="0"/>
          <w:sz w:val="18"/>
          <w:szCs w:val="18"/>
          <w14:ligatures w14:val="none"/>
        </w:rPr>
        <w:t>V primeru, da več ponudb doseže enako najvišje število točk se izvede javni žreb med ekonomsko najugodnejšimi ponudniki z enakim številom točk.</w:t>
      </w:r>
    </w:p>
    <w:sectPr w:rsidR="009249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D16B9" w14:textId="77777777" w:rsidR="000A5B77" w:rsidRDefault="000A5B77" w:rsidP="000A5B77">
      <w:pPr>
        <w:spacing w:after="0" w:line="240" w:lineRule="auto"/>
      </w:pPr>
      <w:r>
        <w:separator/>
      </w:r>
    </w:p>
  </w:endnote>
  <w:endnote w:type="continuationSeparator" w:id="0">
    <w:p w14:paraId="2515B27A" w14:textId="77777777" w:rsidR="000A5B77" w:rsidRDefault="000A5B77" w:rsidP="000A5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46BD8" w14:textId="77777777" w:rsidR="000A5B77" w:rsidRDefault="000A5B77" w:rsidP="000A5B77">
      <w:pPr>
        <w:spacing w:after="0" w:line="240" w:lineRule="auto"/>
      </w:pPr>
      <w:r>
        <w:separator/>
      </w:r>
    </w:p>
  </w:footnote>
  <w:footnote w:type="continuationSeparator" w:id="0">
    <w:p w14:paraId="2A35D166" w14:textId="77777777" w:rsidR="000A5B77" w:rsidRDefault="000A5B77" w:rsidP="000A5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8628"/>
      <w:gridCol w:w="222"/>
      <w:gridCol w:w="222"/>
    </w:tblGrid>
    <w:tr w:rsidR="000A5B77" w:rsidRPr="006F1DA5" w14:paraId="0ADD2356" w14:textId="77777777" w:rsidTr="0059695F">
      <w:trPr>
        <w:trHeight w:val="1268"/>
      </w:trPr>
      <w:tc>
        <w:tcPr>
          <w:tcW w:w="1668" w:type="dxa"/>
        </w:tcPr>
        <w:p w14:paraId="6ADA7BE4" w14:textId="77777777" w:rsidR="000A5B77" w:rsidRPr="006F1DA5" w:rsidRDefault="000A5B77" w:rsidP="000A5B77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  <w:r w:rsidRPr="00BE0742">
            <w:rPr>
              <w:rFonts w:ascii="Arial" w:hAnsi="Arial" w:cs="Arial"/>
              <w:b/>
              <w:noProof/>
              <w:color w:val="000000" w:themeColor="text1"/>
            </w:rPr>
            <w:drawing>
              <wp:inline distT="0" distB="0" distL="0" distR="0" wp14:anchorId="60A13E6E" wp14:editId="31A6FA75">
                <wp:extent cx="5759450" cy="1024890"/>
                <wp:effectExtent l="0" t="0" r="0" b="3810"/>
                <wp:docPr id="1698424298" name="Slika 1" descr="Slika, ki vsebuje besede besedilo, pisava, posnetek zaslona&#10;&#10;Vsebina, ustvarjena z umetno inteligenco, morda ni pravil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8424298" name="Slika 1" descr="Slika, ki vsebuje besede besedilo, pisava, posnetek zaslona&#10;&#10;Vsebina, ustvarjena z umetno inteligenco, morda ni pravilna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10248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61" w:type="dxa"/>
        </w:tcPr>
        <w:p w14:paraId="5ACFCABE" w14:textId="77777777" w:rsidR="000A5B77" w:rsidRPr="006F1DA5" w:rsidRDefault="000A5B77" w:rsidP="000A5B77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</w:p>
      </w:tc>
      <w:tc>
        <w:tcPr>
          <w:tcW w:w="4209" w:type="dxa"/>
        </w:tcPr>
        <w:p w14:paraId="70A1D108" w14:textId="77777777" w:rsidR="000A5B77" w:rsidRPr="006F1DA5" w:rsidRDefault="000A5B77" w:rsidP="000A5B77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</w:p>
      </w:tc>
    </w:tr>
  </w:tbl>
  <w:p w14:paraId="30A38BB4" w14:textId="77777777" w:rsidR="000A5B77" w:rsidRDefault="000A5B77" w:rsidP="000A5B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63E9A"/>
    <w:multiLevelType w:val="hybridMultilevel"/>
    <w:tmpl w:val="D1044560"/>
    <w:lvl w:ilvl="0" w:tplc="F398D24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42D8D8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B8A9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D8C81B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5ECE4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5E0E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9431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71E92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AC5F1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D3A8B"/>
    <w:multiLevelType w:val="hybridMultilevel"/>
    <w:tmpl w:val="5E427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5667B"/>
    <w:multiLevelType w:val="hybridMultilevel"/>
    <w:tmpl w:val="4FD869E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79936919">
    <w:abstractNumId w:val="0"/>
  </w:num>
  <w:num w:numId="2" w16cid:durableId="2097707680">
    <w:abstractNumId w:val="2"/>
  </w:num>
  <w:num w:numId="3" w16cid:durableId="1416586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B77"/>
    <w:rsid w:val="000A5B77"/>
    <w:rsid w:val="00163701"/>
    <w:rsid w:val="002A20DA"/>
    <w:rsid w:val="002B5E9E"/>
    <w:rsid w:val="005B4307"/>
    <w:rsid w:val="005D3954"/>
    <w:rsid w:val="006D2C32"/>
    <w:rsid w:val="008913A6"/>
    <w:rsid w:val="009249DC"/>
    <w:rsid w:val="00CB3605"/>
    <w:rsid w:val="00D92FF6"/>
    <w:rsid w:val="00F73153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BDA3"/>
  <w15:chartTrackingRefBased/>
  <w15:docId w15:val="{4985778C-B01F-4C10-B069-FF22A267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A5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A5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A5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A5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A5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A5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A5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A5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A5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A5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A5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A5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A5B7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A5B7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A5B7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A5B7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A5B7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A5B7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A5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A5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A5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A5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A5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A5B7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A5B7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A5B7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A5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A5B7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A5B77"/>
    <w:rPr>
      <w:b/>
      <w:bCs/>
      <w:smallCaps/>
      <w:color w:val="0F4761" w:themeColor="accent1" w:themeShade="BF"/>
      <w:spacing w:val="5"/>
    </w:rPr>
  </w:style>
  <w:style w:type="table" w:customStyle="1" w:styleId="NormalTablePHPDOCX">
    <w:name w:val="Normal Table PHPDOCX"/>
    <w:uiPriority w:val="99"/>
    <w:semiHidden/>
    <w:unhideWhenUsed/>
    <w:qFormat/>
    <w:rsid w:val="000A5B77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A5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A5B77"/>
  </w:style>
  <w:style w:type="paragraph" w:styleId="Noga">
    <w:name w:val="footer"/>
    <w:basedOn w:val="Navaden"/>
    <w:link w:val="NogaZnak"/>
    <w:uiPriority w:val="99"/>
    <w:unhideWhenUsed/>
    <w:rsid w:val="000A5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A5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Slak Turk</dc:creator>
  <cp:keywords/>
  <dc:description/>
  <cp:lastModifiedBy>Barbara Slak Turk</cp:lastModifiedBy>
  <cp:revision>6</cp:revision>
  <dcterms:created xsi:type="dcterms:W3CDTF">2025-02-13T15:12:00Z</dcterms:created>
  <dcterms:modified xsi:type="dcterms:W3CDTF">2025-02-19T12:09:00Z</dcterms:modified>
</cp:coreProperties>
</file>